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2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92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922"/>
        <w:pBdr/>
        <w:spacing/>
        <w:ind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  <w:t xml:space="preserve">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2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2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22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922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922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15 січня</w:t>
      </w:r>
      <w:r>
        <w:rPr>
          <w:color w:val="000000"/>
          <w:spacing w:val="-7"/>
          <w:sz w:val="28"/>
          <w:szCs w:val="28"/>
        </w:rPr>
        <w:t xml:space="preserve"> 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spacing w:val="-7"/>
          <w:sz w:val="28"/>
          <w:szCs w:val="28"/>
          <w:lang w:val="uk-UA"/>
        </w:rPr>
        <w:t xml:space="preserve">м. Берестин</w:t>
      </w:r>
      <w:r>
        <w:rPr>
          <w:color w:val="000000"/>
          <w:spacing w:val="-9"/>
          <w:sz w:val="28"/>
          <w:szCs w:val="28"/>
        </w:rPr>
        <w:t xml:space="preserve">          </w:t>
        <w:tab/>
        <w:t xml:space="preserve">   </w:t>
        <w:tab/>
        <w:t xml:space="preserve">       </w:t>
        <w:tab/>
        <w:tab/>
        <w:t xml:space="preserve">  </w:t>
      </w:r>
      <w:r>
        <w:rPr>
          <w:color w:val="000000"/>
          <w:spacing w:val="-9"/>
          <w:sz w:val="28"/>
          <w:szCs w:val="28"/>
          <w:lang w:val="uk-UA"/>
        </w:rPr>
        <w:t xml:space="preserve">       </w:t>
      </w:r>
      <w:r>
        <w:rPr>
          <w:color w:val="000000"/>
          <w:spacing w:val="-9"/>
          <w:sz w:val="28"/>
          <w:szCs w:val="28"/>
        </w:rPr>
        <w:t xml:space="preserve">№ </w:t>
      </w:r>
      <w:r>
        <w:rPr>
          <w:color w:val="000000"/>
          <w:spacing w:val="-9"/>
          <w:sz w:val="28"/>
          <w:szCs w:val="28"/>
          <w:lang w:val="uk-UA"/>
        </w:rPr>
        <w:t xml:space="preserve">28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24"/>
        <w:pBdr/>
        <w:tabs>
          <w:tab w:val="left" w:leader="none" w:pos="1860"/>
          <w:tab w:val="center" w:leader="none" w:pos="4678"/>
        </w:tabs>
        <w:spacing/>
        <w:ind w:right="-2"/>
        <w:jc w:val="left"/>
        <w:rPr>
          <w:b/>
          <w:szCs w:val="28"/>
        </w:rPr>
      </w:pPr>
      <w:r>
        <w:t xml:space="preserve">         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2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взяття на квартирний облік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b w:val="0"/>
          <w:bCs w:val="0"/>
          <w:sz w:val="28"/>
          <w:szCs w:val="28"/>
          <w:lang w:val="uk-UA"/>
        </w:rPr>
        <w:t xml:space="preserve">ОСОБУ</w:t>
      </w:r>
      <w:r/>
      <w:r>
        <w:rPr>
          <w:sz w:val="28"/>
          <w:szCs w:val="28"/>
          <w:lang w:val="uk-UA"/>
        </w:rPr>
        <w:t xml:space="preserve"> 2</w:t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 w:right="-2" w:firstLine="720"/>
        <w:jc w:val="both"/>
        <w:rPr>
          <w:spacing w:val="-7"/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 xml:space="preserve">Відповідно до підпункту 2 пункту «а» статті 30 Закону України «Про місцеве самоврядування в Україні»,  </w:t>
      </w:r>
      <w:r>
        <w:rPr>
          <w:sz w:val="28"/>
          <w:szCs w:val="28"/>
          <w:lang w:val="uk-UA"/>
        </w:rPr>
        <w:t xml:space="preserve">керуючись статтею 46 Житлового кодексу України, статтею 33 Закону України «Про забезпечення о</w:t>
      </w:r>
      <w:r>
        <w:rPr>
          <w:sz w:val="28"/>
          <w:szCs w:val="28"/>
          <w:lang w:val="uk-UA"/>
        </w:rPr>
        <w:t xml:space="preserve">рганізаційно-правових умов соціального захисту дітей-сиріт та дітей, позбавлених батьківського піклування», статтею 18 Закону України «Про охорону дитинства», статтею 11 Закону України «Про основи соціального захисту бездомних громадян і безпритульності», </w:t>
      </w:r>
      <w:r>
        <w:rPr>
          <w:bCs/>
          <w:color w:val="000000"/>
          <w:sz w:val="28"/>
          <w:szCs w:val="28"/>
          <w:lang w:val="uk-UA"/>
        </w:rPr>
        <w:t xml:space="preserve">Правилами обліку громадян</w:t>
      </w:r>
      <w:r>
        <w:rPr>
          <w:bCs/>
          <w:color w:val="000000"/>
          <w:sz w:val="28"/>
          <w:szCs w:val="28"/>
          <w:lang w:val="uk-UA"/>
        </w:rPr>
        <w:t xml:space="preserve">, </w:t>
      </w:r>
      <w:r>
        <w:rPr>
          <w:bCs/>
          <w:color w:val="000000"/>
          <w:sz w:val="28"/>
          <w:szCs w:val="28"/>
          <w:lang w:val="uk-UA"/>
        </w:rPr>
        <w:t xml:space="preserve">які потребують поліпшення житлових умов і надання їм жилих приміщень</w:t>
      </w:r>
      <w:r>
        <w:rPr>
          <w:bCs/>
          <w:color w:val="000000"/>
          <w:sz w:val="28"/>
          <w:szCs w:val="28"/>
          <w:lang w:val="uk-UA"/>
        </w:rPr>
        <w:t xml:space="preserve">, </w:t>
      </w:r>
      <w:r>
        <w:rPr>
          <w:spacing w:val="-7"/>
          <w:sz w:val="28"/>
          <w:szCs w:val="28"/>
          <w:lang w:val="uk-UA"/>
        </w:rPr>
        <w:t xml:space="preserve">розглянувши лист та надані матеріали служби у справах дітей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pacing w:val="-7"/>
          <w:sz w:val="28"/>
          <w:szCs w:val="28"/>
          <w:lang w:val="uk-UA"/>
        </w:rPr>
        <w:t xml:space="preserve"> міської ради </w:t>
      </w:r>
      <w:r>
        <w:rPr>
          <w:spacing w:val="-7"/>
          <w:sz w:val="28"/>
          <w:szCs w:val="28"/>
          <w:lang w:val="uk-UA"/>
        </w:rPr>
        <w:t xml:space="preserve">від </w:t>
      </w:r>
      <w:r>
        <w:rPr>
          <w:spacing w:val="-7"/>
          <w:sz w:val="28"/>
          <w:szCs w:val="28"/>
          <w:lang w:val="uk-UA"/>
        </w:rPr>
        <w:t xml:space="preserve">09</w:t>
      </w:r>
      <w:r>
        <w:rPr>
          <w:spacing w:val="-7"/>
          <w:sz w:val="28"/>
          <w:szCs w:val="28"/>
          <w:lang w:val="uk-UA"/>
        </w:rPr>
        <w:t xml:space="preserve">.</w:t>
      </w:r>
      <w:r>
        <w:rPr>
          <w:spacing w:val="-7"/>
          <w:sz w:val="28"/>
          <w:szCs w:val="28"/>
          <w:lang w:val="uk-UA"/>
        </w:rPr>
        <w:t xml:space="preserve">01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 № 01-</w:t>
      </w:r>
      <w:r>
        <w:rPr>
          <w:spacing w:val="-7"/>
          <w:sz w:val="28"/>
          <w:szCs w:val="28"/>
          <w:lang w:val="uk-UA"/>
        </w:rPr>
        <w:t xml:space="preserve">37</w:t>
      </w:r>
      <w:r>
        <w:rPr>
          <w:spacing w:val="-7"/>
          <w:sz w:val="28"/>
          <w:szCs w:val="28"/>
          <w:lang w:val="uk-UA"/>
        </w:rPr>
        <w:t xml:space="preserve">/19</w:t>
      </w:r>
      <w:r>
        <w:rPr>
          <w:spacing w:val="-7"/>
          <w:sz w:val="28"/>
          <w:szCs w:val="28"/>
          <w:lang w:val="uk-UA"/>
        </w:rPr>
        <w:t xml:space="preserve"> щодо</w:t>
      </w:r>
      <w:r>
        <w:rPr>
          <w:spacing w:val="-7"/>
          <w:sz w:val="28"/>
          <w:szCs w:val="28"/>
          <w:lang w:val="uk-UA"/>
        </w:rPr>
        <w:t xml:space="preserve"> взяття на квартирний облік </w:t>
      </w:r>
      <w:r>
        <w:rPr>
          <w:spacing w:val="-7"/>
          <w:sz w:val="28"/>
          <w:szCs w:val="28"/>
          <w:lang w:val="uk-UA"/>
        </w:rPr>
        <w:t xml:space="preserve">дитину</w:t>
      </w:r>
      <w:r>
        <w:rPr>
          <w:spacing w:val="-7"/>
          <w:sz w:val="28"/>
          <w:szCs w:val="28"/>
          <w:lang w:val="uk-UA"/>
        </w:rPr>
        <w:t xml:space="preserve">, позба</w:t>
      </w:r>
      <w:r>
        <w:rPr>
          <w:spacing w:val="-7"/>
          <w:sz w:val="28"/>
          <w:szCs w:val="28"/>
          <w:lang w:val="uk-UA"/>
        </w:rPr>
        <w:t xml:space="preserve">влену батьківського піклування </w:t>
      </w:r>
      <w:r>
        <w:rPr>
          <w:sz w:val="28"/>
          <w:szCs w:val="28"/>
          <w:lang w:val="uk-UA"/>
        </w:rPr>
      </w:r>
      <w:r>
        <w:rPr>
          <w:b w:val="0"/>
          <w:bCs w:val="0"/>
          <w:sz w:val="28"/>
          <w:szCs w:val="28"/>
          <w:lang w:val="uk-UA"/>
        </w:rPr>
        <w:t xml:space="preserve">ОСОБУ </w:t>
      </w:r>
      <w:r/>
      <w:r>
        <w:rPr>
          <w:sz w:val="28"/>
          <w:szCs w:val="28"/>
          <w:lang w:val="uk-UA"/>
        </w:rPr>
        <w:t xml:space="preserve">2,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враховуючи протокольне рішення </w:t>
      </w:r>
      <w:r>
        <w:rPr>
          <w:sz w:val="28"/>
          <w:szCs w:val="28"/>
          <w:lang w:val="uk-UA"/>
        </w:rPr>
        <w:t xml:space="preserve">гро</w:t>
      </w:r>
      <w:r>
        <w:rPr>
          <w:sz w:val="28"/>
          <w:szCs w:val="28"/>
          <w:lang w:val="uk-UA"/>
        </w:rPr>
        <w:t xml:space="preserve">мадської комісії з  розгляду житлових питань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№</w:t>
      </w:r>
      <w:r>
        <w:rPr>
          <w:sz w:val="28"/>
          <w:szCs w:val="28"/>
          <w:lang w:val="uk-UA"/>
        </w:rPr>
        <w:t xml:space="preserve">01</w:t>
      </w:r>
      <w:r>
        <w:rPr>
          <w:sz w:val="28"/>
          <w:szCs w:val="28"/>
          <w:lang w:val="uk-UA"/>
        </w:rPr>
        <w:t xml:space="preserve"> від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13</w:t>
      </w:r>
      <w:r>
        <w:rPr>
          <w:spacing w:val="-7"/>
          <w:sz w:val="28"/>
          <w:szCs w:val="28"/>
          <w:lang w:val="uk-UA"/>
        </w:rPr>
        <w:t xml:space="preserve">.01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,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виконавчий </w:t>
      </w:r>
      <w:r>
        <w:rPr>
          <w:sz w:val="28"/>
          <w:szCs w:val="28"/>
          <w:lang w:val="uk-UA"/>
        </w:rPr>
        <w:t xml:space="preserve">комітет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pacing w:val="-7"/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</w:r>
    </w:p>
    <w:p>
      <w:pPr>
        <w:pStyle w:val="931"/>
        <w:pBdr/>
        <w:spacing/>
        <w:ind/>
        <w:rPr>
          <w:color w:val="ff0000"/>
          <w:sz w:val="28"/>
          <w:szCs w:val="28"/>
          <w:u w:val="single"/>
          <w:lang w:val="uk-UA"/>
        </w:rPr>
      </w:pPr>
      <w:r>
        <w:rPr>
          <w:color w:val="ff0000"/>
          <w:sz w:val="28"/>
          <w:szCs w:val="28"/>
          <w:u w:val="single"/>
          <w:lang w:val="uk-UA"/>
        </w:rPr>
      </w:r>
      <w:r>
        <w:rPr>
          <w:color w:val="ff0000"/>
          <w:sz w:val="28"/>
          <w:szCs w:val="28"/>
          <w:u w:val="single"/>
          <w:lang w:val="uk-UA"/>
        </w:rPr>
      </w:r>
      <w:r>
        <w:rPr>
          <w:color w:val="ff0000"/>
          <w:sz w:val="28"/>
          <w:szCs w:val="28"/>
          <w:u w:val="single"/>
          <w:lang w:val="uk-UA"/>
        </w:rPr>
      </w:r>
    </w:p>
    <w:p>
      <w:pPr>
        <w:pStyle w:val="931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0"/>
        <w:pBdr/>
        <w:spacing/>
        <w:ind/>
        <w:jc w:val="both"/>
        <w:rPr>
          <w:b w:val="0"/>
          <w:color w:val="auto"/>
          <w:sz w:val="28"/>
          <w:szCs w:val="28"/>
        </w:rPr>
      </w:pPr>
      <w:r>
        <w:rPr>
          <w:b w:val="0"/>
          <w:sz w:val="28"/>
          <w:szCs w:val="28"/>
          <w:lang w:val="uk-UA"/>
        </w:rPr>
        <w:t xml:space="preserve">         </w:t>
      </w:r>
      <w:r>
        <w:rPr>
          <w:b w:val="0"/>
          <w:sz w:val="28"/>
          <w:szCs w:val="28"/>
          <w:lang w:val="uk-UA"/>
        </w:rPr>
        <w:t xml:space="preserve">1. Взяти на квартирний облік при виконавчому комітеті </w:t>
      </w:r>
      <w:r>
        <w:rPr>
          <w:b w:val="0"/>
          <w:sz w:val="28"/>
          <w:szCs w:val="28"/>
          <w:lang w:val="uk-UA"/>
        </w:rPr>
        <w:t xml:space="preserve">Берестинської </w:t>
      </w:r>
      <w:r>
        <w:rPr>
          <w:b w:val="0"/>
          <w:sz w:val="28"/>
          <w:szCs w:val="28"/>
          <w:lang w:val="uk-UA"/>
        </w:rPr>
        <w:t xml:space="preserve">міської ради </w:t>
      </w:r>
      <w:r>
        <w:rPr>
          <w:b w:val="0"/>
          <w:bCs w:val="0"/>
          <w:sz w:val="28"/>
          <w:szCs w:val="28"/>
          <w:lang w:val="uk-UA"/>
        </w:rPr>
      </w:r>
      <w:r>
        <w:rPr>
          <w:b w:val="0"/>
          <w:bCs w:val="0"/>
          <w:sz w:val="28"/>
          <w:szCs w:val="28"/>
          <w:lang w:val="uk-UA"/>
        </w:rPr>
        <w:t xml:space="preserve">ОСОБУ</w:t>
      </w:r>
      <w:r/>
      <w:r>
        <w:rPr>
          <w:b w:val="0"/>
          <w:bCs w:val="0"/>
          <w:sz w:val="28"/>
          <w:szCs w:val="28"/>
          <w:lang w:val="uk-UA"/>
        </w:rPr>
        <w:t xml:space="preserve"> 2</w:t>
      </w:r>
      <w:r>
        <w:rPr>
          <w:b w:val="0"/>
          <w:spacing w:val="-7"/>
          <w:sz w:val="28"/>
          <w:szCs w:val="28"/>
          <w:lang w:val="uk-UA"/>
        </w:rPr>
        <w:t xml:space="preserve">,</w:t>
      </w:r>
      <w:r>
        <w:rPr>
          <w:b w:val="0"/>
          <w:spacing w:val="-7"/>
          <w:sz w:val="28"/>
          <w:szCs w:val="28"/>
          <w:lang w:val="uk-UA"/>
        </w:rPr>
        <w:t xml:space="preserve"> ХХ травня ХХХХ</w:t>
      </w:r>
      <w:r>
        <w:rPr>
          <w:b w:val="0"/>
          <w:spacing w:val="-7"/>
          <w:sz w:val="28"/>
          <w:szCs w:val="28"/>
          <w:lang w:val="uk-UA"/>
        </w:rPr>
        <w:t xml:space="preserve"> року народження, зі складом сім’ї одна особа (в</w:t>
      </w:r>
      <w:r>
        <w:rPr>
          <w:b w:val="0"/>
          <w:spacing w:val="-7"/>
          <w:sz w:val="28"/>
          <w:szCs w:val="28"/>
          <w:lang w:val="uk-UA"/>
        </w:rPr>
        <w:t xml:space="preserve">ін</w:t>
      </w:r>
      <w:r>
        <w:rPr>
          <w:b w:val="0"/>
          <w:spacing w:val="-7"/>
          <w:sz w:val="28"/>
          <w:szCs w:val="28"/>
          <w:lang w:val="uk-UA"/>
        </w:rPr>
        <w:t xml:space="preserve">) на позачергових</w:t>
      </w:r>
      <w:r>
        <w:rPr>
          <w:b w:val="0"/>
          <w:spacing w:val="-7"/>
          <w:sz w:val="28"/>
          <w:szCs w:val="28"/>
          <w:lang w:val="uk-UA"/>
        </w:rPr>
        <w:t xml:space="preserve"> засадах, як </w:t>
      </w:r>
      <w:r>
        <w:rPr>
          <w:b w:val="0"/>
          <w:spacing w:val="-7"/>
          <w:sz w:val="28"/>
          <w:szCs w:val="28"/>
          <w:lang w:val="uk-UA"/>
        </w:rPr>
        <w:t xml:space="preserve">дитину, позбавлену батьківського піклування</w:t>
      </w:r>
      <w:r>
        <w:rPr>
          <w:b w:val="0"/>
          <w:spacing w:val="-7"/>
          <w:sz w:val="28"/>
          <w:szCs w:val="28"/>
          <w:lang w:val="uk-UA"/>
        </w:rPr>
        <w:t xml:space="preserve">,</w:t>
      </w:r>
      <w:r>
        <w:rPr>
          <w:b w:val="0"/>
          <w:spacing w:val="-7"/>
          <w:sz w:val="28"/>
          <w:szCs w:val="28"/>
          <w:lang w:val="uk-UA"/>
        </w:rPr>
        <w:t xml:space="preserve"> надати по черзі позачергового отримання житла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№ </w:t>
      </w:r>
      <w:r>
        <w:rPr>
          <w:b w:val="0"/>
          <w:color w:val="auto"/>
          <w:spacing w:val="-7"/>
          <w:sz w:val="28"/>
          <w:szCs w:val="28"/>
          <w:lang w:val="uk-UA"/>
        </w:rPr>
        <w:t xml:space="preserve">1</w:t>
      </w:r>
      <w:r>
        <w:rPr>
          <w:b w:val="0"/>
          <w:color w:val="auto"/>
          <w:spacing w:val="-7"/>
          <w:sz w:val="28"/>
          <w:szCs w:val="28"/>
          <w:lang w:val="uk-UA"/>
        </w:rPr>
        <w:t xml:space="preserve">70</w:t>
      </w:r>
      <w:r>
        <w:rPr>
          <w:b w:val="0"/>
          <w:color w:val="auto"/>
          <w:spacing w:val="-7"/>
          <w:sz w:val="28"/>
          <w:szCs w:val="28"/>
          <w:lang w:val="uk-UA"/>
        </w:rPr>
        <w:t xml:space="preserve">.</w:t>
      </w:r>
      <w:r>
        <w:rPr>
          <w:b w:val="0"/>
          <w:color w:val="auto"/>
          <w:sz w:val="28"/>
          <w:szCs w:val="28"/>
        </w:rPr>
      </w:r>
      <w:r>
        <w:rPr>
          <w:b w:val="0"/>
          <w:color w:val="auto"/>
          <w:sz w:val="28"/>
          <w:szCs w:val="28"/>
        </w:rPr>
      </w:r>
    </w:p>
    <w:p>
      <w:pPr>
        <w:pStyle w:val="922"/>
        <w:pBdr/>
        <w:spacing/>
        <w:ind w:right="-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2. Відповідальному за </w:t>
      </w:r>
      <w:r>
        <w:rPr>
          <w:sz w:val="28"/>
          <w:szCs w:val="28"/>
        </w:rPr>
        <w:t xml:space="preserve">організаці</w:t>
      </w:r>
      <w:r>
        <w:rPr>
          <w:sz w:val="28"/>
          <w:szCs w:val="28"/>
          <w:lang w:val="uk-UA"/>
        </w:rPr>
        <w:t xml:space="preserve">ю</w:t>
      </w:r>
      <w:r>
        <w:rPr>
          <w:sz w:val="28"/>
          <w:szCs w:val="28"/>
        </w:rPr>
        <w:t xml:space="preserve"> обліку громадян</w:t>
      </w:r>
      <w:r>
        <w:rPr>
          <w:sz w:val="28"/>
          <w:szCs w:val="28"/>
          <w:lang w:val="uk-UA"/>
        </w:rPr>
        <w:t xml:space="preserve"> внести відповідні зміни в документацію щодо квартирного обліку.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b w:val="0"/>
          <w:bCs w:val="0"/>
          <w:sz w:val="28"/>
          <w:szCs w:val="28"/>
          <w:lang w:val="uk-UA"/>
        </w:rPr>
        <w:t xml:space="preserve">ОСОБУ</w:t>
      </w:r>
      <w:r/>
      <w:r>
        <w:rPr>
          <w:sz w:val="28"/>
          <w:szCs w:val="28"/>
          <w:lang w:val="uk-UA"/>
        </w:rPr>
        <w:t xml:space="preserve"> 2</w:t>
      </w:r>
      <w:r>
        <w:rPr>
          <w:sz w:val="28"/>
          <w:szCs w:val="28"/>
          <w:lang w:val="uk-UA"/>
        </w:rPr>
        <w:t xml:space="preserve">, не</w:t>
      </w:r>
      <w:r>
        <w:rPr>
          <w:sz w:val="28"/>
          <w:szCs w:val="28"/>
          <w:lang w:val="uk-UA"/>
        </w:rPr>
        <w:t xml:space="preserve"> пізніше грудня місяця кожного наступного року подавати до міської ради відомості щодо зміни адреси місця проживання, складу сім’ї та набуття права власності на житло.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500BBFC">
      <w:pPr>
        <w:pStyle w:val="922"/>
        <w:pBdr/>
        <w:spacing/>
        <w:ind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sz w:val="28"/>
          <w:szCs w:val="28"/>
          <w:lang w:val="uk-UA"/>
        </w:rPr>
        <w:t xml:space="preserve">         4</w:t>
      </w:r>
      <w:r>
        <w:rPr>
          <w:sz w:val="28"/>
          <w:szCs w:val="28"/>
        </w:rPr>
        <w:t xml:space="preserve">. Контроль за виконанням рішення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залишаю за собою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pacing w:val="-4"/>
          <w:sz w:val="28"/>
          <w:szCs w:val="28"/>
        </w:rPr>
      </w:r>
      <w:r>
        <w:rPr>
          <w:rFonts w:ascii="Times New Roman" w:hAnsi="Times New Roman" w:cs="Times New Roman"/>
          <w:spacing w:val="-4"/>
          <w:sz w:val="28"/>
          <w:szCs w:val="28"/>
        </w:rPr>
      </w:r>
    </w:p>
    <w:p w14:paraId="33ABBF1A">
      <w:pPr>
        <w:pStyle w:val="922"/>
        <w:pBdr/>
        <w:spacing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60C6B4AC">
      <w:pPr>
        <w:pStyle w:val="922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</w:r>
    </w:p>
    <w:p w14:paraId="078EDBA9">
      <w:pPr>
        <w:pStyle w:val="922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</w:r>
    </w:p>
    <w:p w14:paraId="56C4F563">
      <w:pPr>
        <w:pStyle w:val="922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4FD2358E">
      <w:pPr>
        <w:pStyle w:val="922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851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abstractNum w:abstractNumId="6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7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8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9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10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1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4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5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4"/>
  </w:num>
  <w:num w:numId="5">
    <w:abstractNumId w:val="11"/>
  </w:num>
  <w:num w:numId="6">
    <w:abstractNumId w:val="15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12"/>
  </w:num>
  <w:num w:numId="12">
    <w:abstractNumId w:val="13"/>
  </w:num>
  <w:num w:numId="13">
    <w:abstractNumId w:val="0"/>
  </w:num>
  <w:num w:numId="14">
    <w:abstractNumId w:val="9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Table Grid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Table Grid Light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1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2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Plain Table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1 Light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2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3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1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2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3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4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5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4 - Accent 6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5 Dark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6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7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1 Light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2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3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4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5 Dark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6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7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1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2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3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4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5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ned - Accent 6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1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2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3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4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5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&amp; Lined - Accent 6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60">
    <w:name w:val="Heading 1"/>
    <w:basedOn w:val="922"/>
    <w:next w:val="922"/>
    <w:link w:val="87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61">
    <w:name w:val="Heading 2"/>
    <w:basedOn w:val="922"/>
    <w:next w:val="922"/>
    <w:link w:val="87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62">
    <w:name w:val="Heading 3"/>
    <w:basedOn w:val="922"/>
    <w:next w:val="922"/>
    <w:link w:val="87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3">
    <w:name w:val="Heading 4"/>
    <w:basedOn w:val="922"/>
    <w:next w:val="922"/>
    <w:link w:val="87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4">
    <w:name w:val="Heading 5"/>
    <w:basedOn w:val="922"/>
    <w:next w:val="922"/>
    <w:link w:val="87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5">
    <w:name w:val="Heading 6"/>
    <w:basedOn w:val="922"/>
    <w:next w:val="922"/>
    <w:link w:val="87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6">
    <w:name w:val="Heading 7"/>
    <w:basedOn w:val="922"/>
    <w:next w:val="922"/>
    <w:link w:val="87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7">
    <w:name w:val="Heading 8"/>
    <w:basedOn w:val="922"/>
    <w:next w:val="922"/>
    <w:link w:val="87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8">
    <w:name w:val="Heading 9"/>
    <w:basedOn w:val="922"/>
    <w:next w:val="922"/>
    <w:link w:val="87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9" w:default="1">
    <w:name w:val="Default Paragraph Font"/>
    <w:uiPriority w:val="1"/>
    <w:semiHidden/>
    <w:unhideWhenUsed/>
    <w:pPr>
      <w:pBdr/>
      <w:spacing/>
      <w:ind/>
    </w:pPr>
  </w:style>
  <w:style w:type="numbering" w:styleId="870" w:default="1">
    <w:name w:val="No List"/>
    <w:uiPriority w:val="99"/>
    <w:semiHidden/>
    <w:unhideWhenUsed/>
    <w:pPr>
      <w:pBdr/>
      <w:spacing/>
      <w:ind/>
    </w:pPr>
  </w:style>
  <w:style w:type="character" w:styleId="871">
    <w:name w:val="Heading 1 Char"/>
    <w:basedOn w:val="869"/>
    <w:link w:val="86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2">
    <w:name w:val="Heading 2 Char"/>
    <w:basedOn w:val="869"/>
    <w:link w:val="86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3">
    <w:name w:val="Heading 3 Char"/>
    <w:basedOn w:val="869"/>
    <w:link w:val="86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4">
    <w:name w:val="Heading 4 Char"/>
    <w:basedOn w:val="869"/>
    <w:link w:val="86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5">
    <w:name w:val="Heading 5 Char"/>
    <w:basedOn w:val="869"/>
    <w:link w:val="86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6">
    <w:name w:val="Heading 6 Char"/>
    <w:basedOn w:val="869"/>
    <w:link w:val="86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7">
    <w:name w:val="Heading 7 Char"/>
    <w:basedOn w:val="869"/>
    <w:link w:val="86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8">
    <w:name w:val="Heading 8 Char"/>
    <w:basedOn w:val="869"/>
    <w:link w:val="86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9">
    <w:name w:val="Heading 9 Char"/>
    <w:basedOn w:val="869"/>
    <w:link w:val="86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80">
    <w:name w:val="Title"/>
    <w:basedOn w:val="922"/>
    <w:next w:val="922"/>
    <w:link w:val="88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1">
    <w:name w:val="Title Char"/>
    <w:basedOn w:val="869"/>
    <w:link w:val="88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2">
    <w:name w:val="Subtitle"/>
    <w:basedOn w:val="922"/>
    <w:next w:val="922"/>
    <w:link w:val="88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3">
    <w:name w:val="Subtitle Char"/>
    <w:basedOn w:val="869"/>
    <w:link w:val="88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4">
    <w:name w:val="Quote"/>
    <w:basedOn w:val="922"/>
    <w:next w:val="922"/>
    <w:link w:val="88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5">
    <w:name w:val="Quote Char"/>
    <w:basedOn w:val="869"/>
    <w:link w:val="88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86">
    <w:name w:val="List Paragraph"/>
    <w:basedOn w:val="922"/>
    <w:uiPriority w:val="34"/>
    <w:qFormat/>
    <w:pPr>
      <w:pBdr/>
      <w:spacing/>
      <w:ind w:left="720"/>
      <w:contextualSpacing w:val="true"/>
    </w:pPr>
  </w:style>
  <w:style w:type="character" w:styleId="887">
    <w:name w:val="Intense Emphasis"/>
    <w:basedOn w:val="86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8">
    <w:name w:val="Intense Quote"/>
    <w:basedOn w:val="922"/>
    <w:next w:val="922"/>
    <w:link w:val="88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9">
    <w:name w:val="Intense Quote Char"/>
    <w:basedOn w:val="869"/>
    <w:link w:val="88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0">
    <w:name w:val="Intense Reference"/>
    <w:basedOn w:val="86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91">
    <w:name w:val="No Spacing"/>
    <w:basedOn w:val="922"/>
    <w:uiPriority w:val="1"/>
    <w:qFormat/>
    <w:pPr>
      <w:pBdr/>
      <w:spacing w:after="0" w:line="240" w:lineRule="auto"/>
      <w:ind/>
    </w:pPr>
  </w:style>
  <w:style w:type="character" w:styleId="892">
    <w:name w:val="Subtle Emphasis"/>
    <w:basedOn w:val="86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3">
    <w:name w:val="Emphasis"/>
    <w:basedOn w:val="869"/>
    <w:uiPriority w:val="20"/>
    <w:qFormat/>
    <w:pPr>
      <w:pBdr/>
      <w:spacing/>
      <w:ind/>
    </w:pPr>
    <w:rPr>
      <w:i/>
      <w:iCs/>
    </w:rPr>
  </w:style>
  <w:style w:type="character" w:styleId="894">
    <w:name w:val="Strong"/>
    <w:basedOn w:val="869"/>
    <w:uiPriority w:val="22"/>
    <w:qFormat/>
    <w:pPr>
      <w:pBdr/>
      <w:spacing/>
      <w:ind/>
    </w:pPr>
    <w:rPr>
      <w:b/>
      <w:bCs/>
    </w:rPr>
  </w:style>
  <w:style w:type="character" w:styleId="895">
    <w:name w:val="Subtle Reference"/>
    <w:basedOn w:val="86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6">
    <w:name w:val="Book Title"/>
    <w:basedOn w:val="86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97">
    <w:name w:val="Header"/>
    <w:basedOn w:val="922"/>
    <w:link w:val="89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8">
    <w:name w:val="Header Char"/>
    <w:basedOn w:val="869"/>
    <w:link w:val="897"/>
    <w:uiPriority w:val="99"/>
    <w:pPr>
      <w:pBdr/>
      <w:spacing/>
      <w:ind/>
    </w:pPr>
  </w:style>
  <w:style w:type="paragraph" w:styleId="899">
    <w:name w:val="Footer"/>
    <w:basedOn w:val="922"/>
    <w:link w:val="90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0">
    <w:name w:val="Footer Char"/>
    <w:basedOn w:val="869"/>
    <w:link w:val="899"/>
    <w:uiPriority w:val="99"/>
    <w:pPr>
      <w:pBdr/>
      <w:spacing/>
      <w:ind/>
    </w:pPr>
  </w:style>
  <w:style w:type="paragraph" w:styleId="901">
    <w:name w:val="Caption"/>
    <w:basedOn w:val="922"/>
    <w:next w:val="92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02">
    <w:name w:val="footnote text"/>
    <w:basedOn w:val="922"/>
    <w:link w:val="90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3">
    <w:name w:val="Footnote Text Char"/>
    <w:basedOn w:val="869"/>
    <w:link w:val="902"/>
    <w:uiPriority w:val="99"/>
    <w:semiHidden/>
    <w:pPr>
      <w:pBdr/>
      <w:spacing/>
      <w:ind/>
    </w:pPr>
    <w:rPr>
      <w:sz w:val="20"/>
      <w:szCs w:val="20"/>
    </w:rPr>
  </w:style>
  <w:style w:type="character" w:styleId="904">
    <w:name w:val="footnote reference"/>
    <w:basedOn w:val="869"/>
    <w:uiPriority w:val="99"/>
    <w:semiHidden/>
    <w:unhideWhenUsed/>
    <w:pPr>
      <w:pBdr/>
      <w:spacing/>
      <w:ind/>
    </w:pPr>
    <w:rPr>
      <w:vertAlign w:val="superscript"/>
    </w:rPr>
  </w:style>
  <w:style w:type="paragraph" w:styleId="905">
    <w:name w:val="endnote text"/>
    <w:basedOn w:val="922"/>
    <w:link w:val="90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6">
    <w:name w:val="Endnote Text Char"/>
    <w:basedOn w:val="869"/>
    <w:link w:val="905"/>
    <w:uiPriority w:val="99"/>
    <w:semiHidden/>
    <w:pPr>
      <w:pBdr/>
      <w:spacing/>
      <w:ind/>
    </w:pPr>
    <w:rPr>
      <w:sz w:val="20"/>
      <w:szCs w:val="20"/>
    </w:rPr>
  </w:style>
  <w:style w:type="character" w:styleId="907">
    <w:name w:val="endnote reference"/>
    <w:basedOn w:val="869"/>
    <w:uiPriority w:val="99"/>
    <w:semiHidden/>
    <w:unhideWhenUsed/>
    <w:pPr>
      <w:pBdr/>
      <w:spacing/>
      <w:ind/>
    </w:pPr>
    <w:rPr>
      <w:vertAlign w:val="superscript"/>
    </w:rPr>
  </w:style>
  <w:style w:type="character" w:styleId="908">
    <w:name w:val="Hyperlink"/>
    <w:basedOn w:val="86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9">
    <w:name w:val="FollowedHyperlink"/>
    <w:basedOn w:val="86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10">
    <w:name w:val="toc 1"/>
    <w:basedOn w:val="922"/>
    <w:next w:val="922"/>
    <w:uiPriority w:val="39"/>
    <w:unhideWhenUsed/>
    <w:pPr>
      <w:pBdr/>
      <w:spacing w:after="100"/>
      <w:ind/>
    </w:pPr>
  </w:style>
  <w:style w:type="paragraph" w:styleId="911">
    <w:name w:val="toc 2"/>
    <w:basedOn w:val="922"/>
    <w:next w:val="922"/>
    <w:uiPriority w:val="39"/>
    <w:unhideWhenUsed/>
    <w:pPr>
      <w:pBdr/>
      <w:spacing w:after="100"/>
      <w:ind w:left="220"/>
    </w:pPr>
  </w:style>
  <w:style w:type="paragraph" w:styleId="912">
    <w:name w:val="toc 3"/>
    <w:basedOn w:val="922"/>
    <w:next w:val="922"/>
    <w:uiPriority w:val="39"/>
    <w:unhideWhenUsed/>
    <w:pPr>
      <w:pBdr/>
      <w:spacing w:after="100"/>
      <w:ind w:left="440"/>
    </w:pPr>
  </w:style>
  <w:style w:type="paragraph" w:styleId="913">
    <w:name w:val="toc 4"/>
    <w:basedOn w:val="922"/>
    <w:next w:val="922"/>
    <w:uiPriority w:val="39"/>
    <w:unhideWhenUsed/>
    <w:pPr>
      <w:pBdr/>
      <w:spacing w:after="100"/>
      <w:ind w:left="660"/>
    </w:pPr>
  </w:style>
  <w:style w:type="paragraph" w:styleId="914">
    <w:name w:val="toc 5"/>
    <w:basedOn w:val="922"/>
    <w:next w:val="922"/>
    <w:uiPriority w:val="39"/>
    <w:unhideWhenUsed/>
    <w:pPr>
      <w:pBdr/>
      <w:spacing w:after="100"/>
      <w:ind w:left="880"/>
    </w:pPr>
  </w:style>
  <w:style w:type="paragraph" w:styleId="915">
    <w:name w:val="toc 6"/>
    <w:basedOn w:val="922"/>
    <w:next w:val="922"/>
    <w:uiPriority w:val="39"/>
    <w:unhideWhenUsed/>
    <w:pPr>
      <w:pBdr/>
      <w:spacing w:after="100"/>
      <w:ind w:left="1100"/>
    </w:pPr>
  </w:style>
  <w:style w:type="paragraph" w:styleId="916">
    <w:name w:val="toc 7"/>
    <w:basedOn w:val="922"/>
    <w:next w:val="922"/>
    <w:uiPriority w:val="39"/>
    <w:unhideWhenUsed/>
    <w:pPr>
      <w:pBdr/>
      <w:spacing w:after="100"/>
      <w:ind w:left="1320"/>
    </w:pPr>
  </w:style>
  <w:style w:type="paragraph" w:styleId="917">
    <w:name w:val="toc 8"/>
    <w:basedOn w:val="922"/>
    <w:next w:val="922"/>
    <w:uiPriority w:val="39"/>
    <w:unhideWhenUsed/>
    <w:pPr>
      <w:pBdr/>
      <w:spacing w:after="100"/>
      <w:ind w:left="1540"/>
    </w:pPr>
  </w:style>
  <w:style w:type="paragraph" w:styleId="918">
    <w:name w:val="toc 9"/>
    <w:basedOn w:val="922"/>
    <w:next w:val="922"/>
    <w:uiPriority w:val="39"/>
    <w:unhideWhenUsed/>
    <w:pPr>
      <w:pBdr/>
      <w:spacing w:after="100"/>
      <w:ind w:left="1760"/>
    </w:pPr>
  </w:style>
  <w:style w:type="character" w:styleId="919">
    <w:name w:val="Placeholder Text"/>
    <w:basedOn w:val="869"/>
    <w:uiPriority w:val="99"/>
    <w:semiHidden/>
    <w:pPr>
      <w:pBdr/>
      <w:spacing/>
      <w:ind/>
    </w:pPr>
    <w:rPr>
      <w:color w:val="666666"/>
    </w:rPr>
  </w:style>
  <w:style w:type="paragraph" w:styleId="920">
    <w:name w:val="TOC Heading"/>
    <w:uiPriority w:val="39"/>
    <w:unhideWhenUsed/>
    <w:pPr>
      <w:pBdr/>
      <w:spacing/>
      <w:ind/>
    </w:pPr>
  </w:style>
  <w:style w:type="paragraph" w:styleId="921">
    <w:name w:val="table of figures"/>
    <w:basedOn w:val="922"/>
    <w:next w:val="922"/>
    <w:uiPriority w:val="99"/>
    <w:unhideWhenUsed/>
    <w:pPr>
      <w:pBdr/>
      <w:spacing w:after="0" w:afterAutospacing="0"/>
      <w:ind/>
    </w:pPr>
  </w:style>
  <w:style w:type="paragraph" w:styleId="922" w:default="1">
    <w:name w:val="Normal"/>
    <w:next w:val="922"/>
    <w:link w:val="922"/>
    <w:qFormat/>
    <w:pPr>
      <w:pBdr/>
      <w:spacing/>
      <w:ind/>
    </w:pPr>
    <w:rPr>
      <w:lang w:val="ru-RU" w:eastAsia="ru-RU" w:bidi="ar-SA"/>
    </w:rPr>
  </w:style>
  <w:style w:type="paragraph" w:styleId="923">
    <w:name w:val="Заголовок 1"/>
    <w:basedOn w:val="922"/>
    <w:next w:val="922"/>
    <w:link w:val="922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24">
    <w:name w:val="Заголовок 2"/>
    <w:basedOn w:val="922"/>
    <w:next w:val="922"/>
    <w:link w:val="922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character" w:styleId="925">
    <w:name w:val="Основной шрифт абзаца"/>
    <w:next w:val="925"/>
    <w:link w:val="933"/>
    <w:semiHidden/>
    <w:pPr>
      <w:pBdr/>
      <w:spacing/>
      <w:ind/>
    </w:pPr>
  </w:style>
  <w:style w:type="table" w:styleId="926">
    <w:name w:val="Обычная таблица"/>
    <w:next w:val="926"/>
    <w:link w:val="92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7">
    <w:name w:val="Нет списка"/>
    <w:next w:val="927"/>
    <w:link w:val="922"/>
    <w:semiHidden/>
    <w:pPr>
      <w:pBdr/>
      <w:spacing/>
      <w:ind/>
    </w:pPr>
  </w:style>
  <w:style w:type="paragraph" w:styleId="928">
    <w:name w:val="Верхний колонтитул"/>
    <w:basedOn w:val="922"/>
    <w:next w:val="928"/>
    <w:link w:val="922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29">
    <w:name w:val="Нижний колонтитул"/>
    <w:basedOn w:val="922"/>
    <w:next w:val="929"/>
    <w:link w:val="922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30">
    <w:name w:val="Основной текст"/>
    <w:basedOn w:val="922"/>
    <w:next w:val="930"/>
    <w:link w:val="922"/>
    <w:pPr>
      <w:pBdr/>
      <w:spacing/>
      <w:ind/>
    </w:pPr>
    <w:rPr>
      <w:b/>
      <w:sz w:val="24"/>
    </w:rPr>
  </w:style>
  <w:style w:type="paragraph" w:styleId="931">
    <w:name w:val="Основной текст 2"/>
    <w:basedOn w:val="922"/>
    <w:next w:val="931"/>
    <w:link w:val="922"/>
    <w:pPr>
      <w:pBdr/>
      <w:spacing/>
      <w:ind/>
      <w:jc w:val="both"/>
    </w:pPr>
    <w:rPr>
      <w:sz w:val="24"/>
    </w:rPr>
  </w:style>
  <w:style w:type="paragraph" w:styleId="932">
    <w:name w:val="Текст выноски"/>
    <w:basedOn w:val="922"/>
    <w:next w:val="932"/>
    <w:link w:val="922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33">
    <w:name w:val="Знак"/>
    <w:basedOn w:val="922"/>
    <w:next w:val="933"/>
    <w:link w:val="925"/>
    <w:pPr>
      <w:pBdr/>
      <w:spacing/>
      <w:ind/>
    </w:pPr>
    <w:rPr>
      <w:rFonts w:ascii="Verdana" w:hAnsi="Verdana" w:cs="Verdana"/>
      <w:lang w:val="en-US" w:eastAsia="en-US"/>
    </w:rPr>
  </w:style>
  <w:style w:type="paragraph" w:styleId="934">
    <w:name w:val="Обычный (веб)"/>
    <w:basedOn w:val="922"/>
    <w:next w:val="934"/>
    <w:link w:val="922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7</cp:revision>
  <dcterms:created xsi:type="dcterms:W3CDTF">2025-06-06T12:01:00Z</dcterms:created>
  <dcterms:modified xsi:type="dcterms:W3CDTF">2026-02-03T06:42:17Z</dcterms:modified>
  <cp:version>983040</cp:version>
</cp:coreProperties>
</file>